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8CE2A"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Assumpte: Informació sobre la vaga general de l’11 de novembre de 2026</w:t>
      </w:r>
    </w:p>
    <w:p w14:paraId="306A1F97"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Benvolgudes, benvolguts,</w:t>
      </w:r>
    </w:p>
    <w:p w14:paraId="724AA0EB"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Amb motiu de la vaga general convocada per diverses organitzacions sindicals per al pròxim 11 de novembre de 2026, us facilitem la informació següent sobre els drets de les persones treballadores i l’organització de la jornada.</w:t>
      </w:r>
    </w:p>
    <w:p w14:paraId="340C5900" w14:textId="39D485C6"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Dret de vaga</w:t>
      </w:r>
    </w:p>
    <w:p w14:paraId="58BF11C4"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El dret de vaga és un dret individual i el seu exercici és lliure i voluntari.</w:t>
      </w:r>
    </w:p>
    <w:p w14:paraId="351971F5"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Cada persona treballadora pot decidir si secunda o no la vaga, sense que sigui necessari comunicar-ho prèviament a l’empresa ni sol·licitar cap autorització.</w:t>
      </w:r>
    </w:p>
    <w:p w14:paraId="2C35911B"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L’exercici legítim del dret de vaga no pot donar lloc a cap sanció ni represàlia per part de l’empresa.</w:t>
      </w:r>
    </w:p>
    <w:p w14:paraId="1E0C8F21"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Dret al treball</w:t>
      </w:r>
    </w:p>
    <w:p w14:paraId="62DBA20E"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Les persones que decideixin no secundar la vaga tenen dret a accedir al centre de treball i a prestar serveis amb normalitat, dins de les possibilitats organitzatives i productives existents durant aquella jornada.</w:t>
      </w:r>
    </w:p>
    <w:p w14:paraId="1EE4CE5A"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El centre de treball romandrà obert en el seu horari habitual, sens perjudici de les incidències que es puguin produir com a conseqüència de la vaga.</w:t>
      </w:r>
    </w:p>
    <w:p w14:paraId="37D147E1"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L’empresa respectarà tant el dret de vaga de les persones que decideixin exercir-lo com el dret al treball de les persones que no el secundin.</w:t>
      </w:r>
    </w:p>
    <w:p w14:paraId="5828C92B"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Piquets informatius</w:t>
      </w:r>
    </w:p>
    <w:p w14:paraId="2FBA4C0A"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Els piquets poden informar sobre els motius de la vaga i fomentar-ne pacíficament el seguiment.</w:t>
      </w:r>
    </w:p>
    <w:p w14:paraId="1903F82C"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Aquestes actuacions s’han de desenvolupar respectant la llibertat de les persones que decideixin no secundar la vaga. No són admissibles les coaccions, amenaces, actes de violència o qualsevol altra actuació destinada a impedir l’accés al centre o l’exercici del dret al treball.</w:t>
      </w:r>
    </w:p>
    <w:p w14:paraId="48546FF9"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Horari de la vaga</w:t>
      </w:r>
    </w:p>
    <w:p w14:paraId="6A5881F0"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Amb caràcter general, la vaga està convocada durant la jornada de l’11 de novembre de 2026.</w:t>
      </w:r>
    </w:p>
    <w:p w14:paraId="607DD643"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En els centres de treball organitzats per torns, algunes de les convocatòries sindicals estableixen regles específiques que poden comportar que la vaga s’iniciï en un torn que comenci el dia 10 de novembre i finalitzi en un torn que acabi el dia 12 de novembre.</w:t>
      </w:r>
    </w:p>
    <w:p w14:paraId="5691AEC4"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w:t>
      </w:r>
      <w:r w:rsidRPr="008C5D28">
        <w:rPr>
          <w:rFonts w:ascii="Arial" w:hAnsi="Arial" w:cs="Arial"/>
          <w:sz w:val="21"/>
          <w:szCs w:val="21"/>
          <w:highlight w:val="yellow"/>
          <w:lang w:val="ca-ES"/>
        </w:rPr>
        <w:t>Si escau, l’empresa podrà concretar aquí l’afectació als seus torns</w:t>
      </w:r>
      <w:r w:rsidRPr="008C5D28">
        <w:rPr>
          <w:rFonts w:ascii="Arial" w:hAnsi="Arial" w:cs="Arial"/>
          <w:sz w:val="21"/>
          <w:szCs w:val="21"/>
          <w:lang w:val="ca-ES"/>
        </w:rPr>
        <w:t>:</w:t>
      </w:r>
    </w:p>
    <w:p w14:paraId="2DEA7AA8" w14:textId="77777777" w:rsidR="008C5D28" w:rsidRPr="008C5D28" w:rsidRDefault="008C5D28" w:rsidP="008C5D28">
      <w:pPr>
        <w:numPr>
          <w:ilvl w:val="0"/>
          <w:numId w:val="6"/>
        </w:numPr>
        <w:tabs>
          <w:tab w:val="clear" w:pos="720"/>
          <w:tab w:val="num" w:pos="1428"/>
        </w:tabs>
        <w:ind w:left="1428"/>
        <w:rPr>
          <w:rFonts w:ascii="Arial" w:hAnsi="Arial" w:cs="Arial"/>
          <w:sz w:val="21"/>
          <w:szCs w:val="21"/>
          <w:lang w:val="ca-ES"/>
        </w:rPr>
      </w:pPr>
      <w:r w:rsidRPr="008C5D28">
        <w:rPr>
          <w:rFonts w:ascii="Arial" w:hAnsi="Arial" w:cs="Arial"/>
          <w:sz w:val="21"/>
          <w:szCs w:val="21"/>
          <w:lang w:val="ca-ES"/>
        </w:rPr>
        <w:t>Torn ____________: ____________</w:t>
      </w:r>
    </w:p>
    <w:p w14:paraId="177056A0" w14:textId="77777777" w:rsidR="008C5D28" w:rsidRPr="008C5D28" w:rsidRDefault="008C5D28" w:rsidP="008C5D28">
      <w:pPr>
        <w:numPr>
          <w:ilvl w:val="0"/>
          <w:numId w:val="6"/>
        </w:numPr>
        <w:tabs>
          <w:tab w:val="clear" w:pos="720"/>
          <w:tab w:val="num" w:pos="1428"/>
        </w:tabs>
        <w:ind w:left="1428"/>
        <w:rPr>
          <w:rFonts w:ascii="Arial" w:hAnsi="Arial" w:cs="Arial"/>
          <w:sz w:val="21"/>
          <w:szCs w:val="21"/>
          <w:lang w:val="ca-ES"/>
        </w:rPr>
      </w:pPr>
      <w:r w:rsidRPr="008C5D28">
        <w:rPr>
          <w:rFonts w:ascii="Arial" w:hAnsi="Arial" w:cs="Arial"/>
          <w:sz w:val="21"/>
          <w:szCs w:val="21"/>
          <w:lang w:val="ca-ES"/>
        </w:rPr>
        <w:t>Torn ____________: ____________</w:t>
      </w:r>
    </w:p>
    <w:p w14:paraId="4BB7F890" w14:textId="77777777" w:rsidR="008C5D28" w:rsidRPr="008C5D28" w:rsidRDefault="008C5D28" w:rsidP="008C5D28">
      <w:pPr>
        <w:numPr>
          <w:ilvl w:val="0"/>
          <w:numId w:val="6"/>
        </w:numPr>
        <w:tabs>
          <w:tab w:val="clear" w:pos="720"/>
          <w:tab w:val="num" w:pos="1428"/>
        </w:tabs>
        <w:ind w:left="1428"/>
        <w:rPr>
          <w:rFonts w:ascii="Arial" w:hAnsi="Arial" w:cs="Arial"/>
          <w:sz w:val="21"/>
          <w:szCs w:val="21"/>
          <w:lang w:val="ca-ES"/>
        </w:rPr>
      </w:pPr>
      <w:r w:rsidRPr="008C5D28">
        <w:rPr>
          <w:rFonts w:ascii="Arial" w:hAnsi="Arial" w:cs="Arial"/>
          <w:sz w:val="21"/>
          <w:szCs w:val="21"/>
          <w:lang w:val="ca-ES"/>
        </w:rPr>
        <w:t>Torn ____________: ____________]</w:t>
      </w:r>
    </w:p>
    <w:p w14:paraId="6BC78E3E"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Efectes de l’exercici del dret de vaga</w:t>
      </w:r>
    </w:p>
    <w:p w14:paraId="61A8C9DF"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lastRenderedPageBreak/>
        <w:t>Durant el temps en què una persona treballadora exerceixi el dret de vaga, el contracte de treball queda suspès.</w:t>
      </w:r>
    </w:p>
    <w:p w14:paraId="235558D7"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En conseqüència, no es percebrà la retribució corresponent al temps de vaga. La deducció salarial pot comprendre, d’acord amb la normativa aplicable, el salari corresponent a les hores no treballades i la part proporcional de determinats conceptes retributius, com les pagues extraordinàries i el descans setmanal.</w:t>
      </w:r>
    </w:p>
    <w:p w14:paraId="1C3DE801"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L’exercici del dret de vaga no redueix la durada de les vacances ni comporta la pèrdua d’antiguitat.</w:t>
      </w:r>
    </w:p>
    <w:p w14:paraId="0DFA352D"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Durant una vaga total, la persona treballadora passa a situació d’alta especial a la Seguretat Social, amb suspensió de l’obligació de cotitzar durant el període de vaga.</w:t>
      </w:r>
    </w:p>
    <w:p w14:paraId="52D6A569"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Serveis de seguretat i manteniment i, si escau, serveis mínims</w:t>
      </w:r>
    </w:p>
    <w:p w14:paraId="0F94917A"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Quan sigui necessari garantir serveis de seguretat i manteniment per protegir les persones, els béns, les instal·lacions, la maquinària o assegurar la posterior represa de l’activitat, aquests serveis s’establiran d’acord amb el procediment legalment aplicable.</w:t>
      </w:r>
    </w:p>
    <w:p w14:paraId="519DB11D"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Així mateix, en aquelles activitats en què l’autoritat competent estableixi serveis mínims per tractar-se de serveis essencials per a la comunitat, les persones que hagin de prestar-los seran informades de manera individual.</w:t>
      </w:r>
    </w:p>
    <w:p w14:paraId="29A07D6D"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w:t>
      </w:r>
      <w:r w:rsidRPr="008C5D28">
        <w:rPr>
          <w:rFonts w:ascii="Arial" w:hAnsi="Arial" w:cs="Arial"/>
          <w:sz w:val="21"/>
          <w:szCs w:val="21"/>
          <w:highlight w:val="yellow"/>
          <w:lang w:val="ca-ES"/>
        </w:rPr>
        <w:t>Eliminar aquest apartat si no resulta aplicable a l’empresa</w:t>
      </w:r>
      <w:r w:rsidRPr="008C5D28">
        <w:rPr>
          <w:rFonts w:ascii="Arial" w:hAnsi="Arial" w:cs="Arial"/>
          <w:sz w:val="21"/>
          <w:szCs w:val="21"/>
          <w:lang w:val="ca-ES"/>
        </w:rPr>
        <w:t>.]</w:t>
      </w:r>
    </w:p>
    <w:p w14:paraId="0CF89AEA"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Desplaçaments i incidències en el transport</w:t>
      </w:r>
    </w:p>
    <w:p w14:paraId="385BAE18"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La jornada de vaga pot provocar afectacions en el transport públic o en la mobilitat.</w:t>
      </w:r>
    </w:p>
    <w:p w14:paraId="30329334"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Les persones que no secundin la vaga hauran de prendre les mesures raonables necessàries per acudir al seu lloc de treball.</w:t>
      </w:r>
    </w:p>
    <w:p w14:paraId="1F460C7B"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En cas que es produeixi una impossibilitat efectiva d’arribar al centre de treball o un retard derivat d’incidències en el transport, caldrà comunicar-ho tan aviat com sigui possible a [</w:t>
      </w:r>
      <w:r w:rsidRPr="008C5D28">
        <w:rPr>
          <w:rFonts w:ascii="Arial" w:hAnsi="Arial" w:cs="Arial"/>
          <w:sz w:val="21"/>
          <w:szCs w:val="21"/>
          <w:highlight w:val="yellow"/>
          <w:lang w:val="ca-ES"/>
        </w:rPr>
        <w:t>persona/departament/canal</w:t>
      </w:r>
      <w:r w:rsidRPr="008C5D28">
        <w:rPr>
          <w:rFonts w:ascii="Arial" w:hAnsi="Arial" w:cs="Arial"/>
          <w:sz w:val="21"/>
          <w:szCs w:val="21"/>
          <w:lang w:val="ca-ES"/>
        </w:rPr>
        <w:t>] i, si escau, aportar la justificació corresponent.</w:t>
      </w:r>
    </w:p>
    <w:p w14:paraId="50C1F49B" w14:textId="77777777" w:rsidR="008C5D28" w:rsidRPr="008C5D28" w:rsidRDefault="008C5D28" w:rsidP="008C5D28">
      <w:pPr>
        <w:pStyle w:val="Pargrafdellista"/>
        <w:numPr>
          <w:ilvl w:val="0"/>
          <w:numId w:val="11"/>
        </w:numPr>
        <w:ind w:hanging="720"/>
        <w:rPr>
          <w:rFonts w:ascii="Arial" w:hAnsi="Arial" w:cs="Arial"/>
          <w:b/>
          <w:bCs/>
          <w:sz w:val="21"/>
          <w:szCs w:val="21"/>
          <w:u w:val="single"/>
          <w:lang w:val="ca-ES"/>
        </w:rPr>
      </w:pPr>
      <w:r w:rsidRPr="008C5D28">
        <w:rPr>
          <w:rFonts w:ascii="Arial" w:hAnsi="Arial" w:cs="Arial"/>
          <w:b/>
          <w:bCs/>
          <w:sz w:val="21"/>
          <w:szCs w:val="21"/>
          <w:u w:val="single"/>
          <w:lang w:val="ca-ES"/>
        </w:rPr>
        <w:t>Consultes i incidències</w:t>
      </w:r>
    </w:p>
    <w:p w14:paraId="3BD1B048" w14:textId="77777777"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Per a qualsevol consulta o incidència relacionada amb l’organització de la jornada de vaga, podeu adreçar-vos a:</w:t>
      </w:r>
    </w:p>
    <w:p w14:paraId="7664890E" w14:textId="66C3B665" w:rsidR="008C5D28" w:rsidRPr="008C5D28" w:rsidRDefault="008C5D28" w:rsidP="008C5D28">
      <w:pPr>
        <w:ind w:left="708"/>
        <w:rPr>
          <w:rFonts w:ascii="Arial" w:hAnsi="Arial" w:cs="Arial"/>
          <w:sz w:val="21"/>
          <w:szCs w:val="21"/>
          <w:lang w:val="ca-ES"/>
        </w:rPr>
      </w:pPr>
      <w:r w:rsidRPr="008C5D28">
        <w:rPr>
          <w:rFonts w:ascii="Arial" w:hAnsi="Arial" w:cs="Arial"/>
          <w:sz w:val="21"/>
          <w:szCs w:val="21"/>
          <w:lang w:val="ca-ES"/>
        </w:rPr>
        <w:t>[</w:t>
      </w:r>
      <w:r w:rsidRPr="008C5D28">
        <w:rPr>
          <w:rFonts w:ascii="Arial" w:hAnsi="Arial" w:cs="Arial"/>
          <w:sz w:val="21"/>
          <w:szCs w:val="21"/>
          <w:highlight w:val="yellow"/>
          <w:lang w:val="ca-ES"/>
        </w:rPr>
        <w:t>Nom / Departament</w:t>
      </w:r>
      <w:r w:rsidRPr="008C5D28">
        <w:rPr>
          <w:rFonts w:ascii="Arial" w:hAnsi="Arial" w:cs="Arial"/>
          <w:sz w:val="21"/>
          <w:szCs w:val="21"/>
          <w:lang w:val="ca-ES"/>
        </w:rPr>
        <w:t>]</w:t>
      </w:r>
      <w:r w:rsidRPr="008C5D28">
        <w:rPr>
          <w:rFonts w:ascii="Arial" w:hAnsi="Arial" w:cs="Arial"/>
          <w:sz w:val="21"/>
          <w:szCs w:val="21"/>
          <w:lang w:val="ca-ES"/>
        </w:rPr>
        <w:t xml:space="preserve"> </w:t>
      </w:r>
      <w:r w:rsidRPr="008C5D28">
        <w:rPr>
          <w:rFonts w:ascii="Arial" w:hAnsi="Arial" w:cs="Arial"/>
          <w:sz w:val="21"/>
          <w:szCs w:val="21"/>
          <w:lang w:val="ca-ES"/>
        </w:rPr>
        <w:t>[</w:t>
      </w:r>
      <w:r w:rsidRPr="008C5D28">
        <w:rPr>
          <w:rFonts w:ascii="Arial" w:hAnsi="Arial" w:cs="Arial"/>
          <w:sz w:val="21"/>
          <w:szCs w:val="21"/>
          <w:highlight w:val="yellow"/>
          <w:lang w:val="ca-ES"/>
        </w:rPr>
        <w:t>Telèfon</w:t>
      </w:r>
      <w:r w:rsidRPr="008C5D28">
        <w:rPr>
          <w:rFonts w:ascii="Arial" w:hAnsi="Arial" w:cs="Arial"/>
          <w:sz w:val="21"/>
          <w:szCs w:val="21"/>
          <w:lang w:val="ca-ES"/>
        </w:rPr>
        <w:t>]</w:t>
      </w:r>
      <w:r w:rsidRPr="008C5D28">
        <w:rPr>
          <w:rFonts w:ascii="Arial" w:hAnsi="Arial" w:cs="Arial"/>
          <w:sz w:val="21"/>
          <w:szCs w:val="21"/>
          <w:lang w:val="ca-ES"/>
        </w:rPr>
        <w:t xml:space="preserve"> </w:t>
      </w:r>
      <w:r w:rsidRPr="008C5D28">
        <w:rPr>
          <w:rFonts w:ascii="Arial" w:hAnsi="Arial" w:cs="Arial"/>
          <w:sz w:val="21"/>
          <w:szCs w:val="21"/>
          <w:lang w:val="ca-ES"/>
        </w:rPr>
        <w:t>[</w:t>
      </w:r>
      <w:r w:rsidRPr="008C5D28">
        <w:rPr>
          <w:rFonts w:ascii="Arial" w:hAnsi="Arial" w:cs="Arial"/>
          <w:sz w:val="21"/>
          <w:szCs w:val="21"/>
          <w:highlight w:val="yellow"/>
          <w:lang w:val="ca-ES"/>
        </w:rPr>
        <w:t>Correu electrònic</w:t>
      </w:r>
      <w:r w:rsidRPr="008C5D28">
        <w:rPr>
          <w:rFonts w:ascii="Arial" w:hAnsi="Arial" w:cs="Arial"/>
          <w:sz w:val="21"/>
          <w:szCs w:val="21"/>
          <w:lang w:val="ca-ES"/>
        </w:rPr>
        <w:t>]</w:t>
      </w:r>
    </w:p>
    <w:p w14:paraId="09EAC232"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Aquesta comunicació té com a finalitat facilitar informació a tota la plantilla i garantir que la jornada es desenvolupi respectant tant el dret constitucional de vaga com el dret al treball de les persones que decideixin no secundar-la.</w:t>
      </w:r>
    </w:p>
    <w:p w14:paraId="0E289F0E"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Cordialment,</w:t>
      </w:r>
    </w:p>
    <w:p w14:paraId="5FA1E702" w14:textId="5CC12700"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w:t>
      </w:r>
      <w:r w:rsidRPr="008C5D28">
        <w:rPr>
          <w:rFonts w:ascii="Arial" w:hAnsi="Arial" w:cs="Arial"/>
          <w:sz w:val="21"/>
          <w:szCs w:val="21"/>
          <w:highlight w:val="yellow"/>
          <w:lang w:val="ca-ES"/>
        </w:rPr>
        <w:t>Empresa</w:t>
      </w:r>
      <w:r w:rsidRPr="008C5D28">
        <w:rPr>
          <w:rFonts w:ascii="Arial" w:hAnsi="Arial" w:cs="Arial"/>
          <w:sz w:val="21"/>
          <w:szCs w:val="21"/>
          <w:lang w:val="ca-ES"/>
        </w:rPr>
        <w:t>]</w:t>
      </w:r>
      <w:r>
        <w:rPr>
          <w:rFonts w:ascii="Arial" w:hAnsi="Arial" w:cs="Arial"/>
          <w:sz w:val="21"/>
          <w:szCs w:val="21"/>
          <w:lang w:val="ca-ES"/>
        </w:rPr>
        <w:t xml:space="preserve"> </w:t>
      </w:r>
      <w:r w:rsidRPr="008C5D28">
        <w:rPr>
          <w:rFonts w:ascii="Arial" w:hAnsi="Arial" w:cs="Arial"/>
          <w:sz w:val="21"/>
          <w:szCs w:val="21"/>
          <w:lang w:val="ca-ES"/>
        </w:rPr>
        <w:t>[</w:t>
      </w:r>
      <w:r w:rsidRPr="008C5D28">
        <w:rPr>
          <w:rFonts w:ascii="Arial" w:hAnsi="Arial" w:cs="Arial"/>
          <w:sz w:val="21"/>
          <w:szCs w:val="21"/>
          <w:highlight w:val="yellow"/>
          <w:lang w:val="ca-ES"/>
        </w:rPr>
        <w:t>Lloc i data</w:t>
      </w:r>
      <w:r w:rsidRPr="008C5D28">
        <w:rPr>
          <w:rFonts w:ascii="Arial" w:hAnsi="Arial" w:cs="Arial"/>
          <w:sz w:val="21"/>
          <w:szCs w:val="21"/>
          <w:lang w:val="ca-ES"/>
        </w:rPr>
        <w:t>]</w:t>
      </w:r>
    </w:p>
    <w:p w14:paraId="612813BD" w14:textId="77777777" w:rsidR="008C5D28" w:rsidRPr="008C5D28" w:rsidRDefault="008C5D28" w:rsidP="008C5D28">
      <w:pPr>
        <w:rPr>
          <w:rFonts w:ascii="Arial" w:hAnsi="Arial" w:cs="Arial"/>
          <w:sz w:val="21"/>
          <w:szCs w:val="21"/>
          <w:lang w:val="ca-ES"/>
        </w:rPr>
      </w:pPr>
      <w:r w:rsidRPr="008C5D28">
        <w:rPr>
          <w:rFonts w:ascii="Arial" w:hAnsi="Arial" w:cs="Arial"/>
          <w:sz w:val="21"/>
          <w:szCs w:val="21"/>
          <w:lang w:val="ca-ES"/>
        </w:rPr>
        <w:t>[</w:t>
      </w:r>
      <w:r w:rsidRPr="008C5D28">
        <w:rPr>
          <w:rFonts w:ascii="Arial" w:hAnsi="Arial" w:cs="Arial"/>
          <w:sz w:val="21"/>
          <w:szCs w:val="21"/>
          <w:highlight w:val="yellow"/>
          <w:lang w:val="ca-ES"/>
        </w:rPr>
        <w:t>Direcció / Departament de Persones / Recursos Humans</w:t>
      </w:r>
      <w:r w:rsidRPr="008C5D28">
        <w:rPr>
          <w:rFonts w:ascii="Arial" w:hAnsi="Arial" w:cs="Arial"/>
          <w:sz w:val="21"/>
          <w:szCs w:val="21"/>
          <w:lang w:val="ca-ES"/>
        </w:rPr>
        <w:t>]</w:t>
      </w:r>
    </w:p>
    <w:p w14:paraId="1C3B69B0" w14:textId="77777777" w:rsidR="008C5D28" w:rsidRPr="008C5D28" w:rsidRDefault="008C5D28">
      <w:pPr>
        <w:rPr>
          <w:rFonts w:ascii="Arial" w:hAnsi="Arial" w:cs="Arial"/>
          <w:sz w:val="21"/>
          <w:szCs w:val="21"/>
          <w:lang w:val="ca-ES"/>
        </w:rPr>
      </w:pPr>
    </w:p>
    <w:sectPr w:rsidR="008C5D28" w:rsidRPr="008C5D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4EA2"/>
    <w:multiLevelType w:val="multilevel"/>
    <w:tmpl w:val="B7DC17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55888"/>
    <w:multiLevelType w:val="multilevel"/>
    <w:tmpl w:val="678A98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C80EE4"/>
    <w:multiLevelType w:val="multilevel"/>
    <w:tmpl w:val="FF0050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F265D"/>
    <w:multiLevelType w:val="multilevel"/>
    <w:tmpl w:val="EC4C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611EDD"/>
    <w:multiLevelType w:val="hybridMultilevel"/>
    <w:tmpl w:val="5268BF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BA1DF4"/>
    <w:multiLevelType w:val="multilevel"/>
    <w:tmpl w:val="9CCA75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9F6569"/>
    <w:multiLevelType w:val="multilevel"/>
    <w:tmpl w:val="5C6AC0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9A0B42"/>
    <w:multiLevelType w:val="multilevel"/>
    <w:tmpl w:val="0842273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4F2475"/>
    <w:multiLevelType w:val="multilevel"/>
    <w:tmpl w:val="A4166E1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C0418B"/>
    <w:multiLevelType w:val="multilevel"/>
    <w:tmpl w:val="6A1C3A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130A23"/>
    <w:multiLevelType w:val="multilevel"/>
    <w:tmpl w:val="09A09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974918">
    <w:abstractNumId w:val="10"/>
  </w:num>
  <w:num w:numId="2" w16cid:durableId="1941646475">
    <w:abstractNumId w:val="1"/>
  </w:num>
  <w:num w:numId="3" w16cid:durableId="288125410">
    <w:abstractNumId w:val="0"/>
  </w:num>
  <w:num w:numId="4" w16cid:durableId="1973635953">
    <w:abstractNumId w:val="6"/>
  </w:num>
  <w:num w:numId="5" w16cid:durableId="791217936">
    <w:abstractNumId w:val="9"/>
  </w:num>
  <w:num w:numId="6" w16cid:durableId="981037277">
    <w:abstractNumId w:val="3"/>
  </w:num>
  <w:num w:numId="7" w16cid:durableId="988677014">
    <w:abstractNumId w:val="5"/>
  </w:num>
  <w:num w:numId="8" w16cid:durableId="1833791081">
    <w:abstractNumId w:val="8"/>
  </w:num>
  <w:num w:numId="9" w16cid:durableId="1689672447">
    <w:abstractNumId w:val="2"/>
  </w:num>
  <w:num w:numId="10" w16cid:durableId="1453936276">
    <w:abstractNumId w:val="7"/>
  </w:num>
  <w:num w:numId="11" w16cid:durableId="1224677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D28"/>
    <w:rsid w:val="008C5D28"/>
    <w:rsid w:val="00FF2D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6461"/>
  <w15:chartTrackingRefBased/>
  <w15:docId w15:val="{09B6AD5D-B41F-47FB-86A0-5711EE74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link w:val="Ttol1Car"/>
    <w:uiPriority w:val="9"/>
    <w:qFormat/>
    <w:rsid w:val="008C5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8C5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8C5D28"/>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8C5D28"/>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8C5D28"/>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8C5D28"/>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8C5D28"/>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8C5D28"/>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8C5D28"/>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8C5D28"/>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8C5D28"/>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8C5D28"/>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8C5D28"/>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8C5D28"/>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8C5D28"/>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8C5D28"/>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8C5D28"/>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8C5D28"/>
    <w:rPr>
      <w:rFonts w:eastAsiaTheme="majorEastAsia" w:cstheme="majorBidi"/>
      <w:color w:val="272727" w:themeColor="text1" w:themeTint="D8"/>
    </w:rPr>
  </w:style>
  <w:style w:type="paragraph" w:styleId="Ttol">
    <w:name w:val="Title"/>
    <w:basedOn w:val="Normal"/>
    <w:next w:val="Normal"/>
    <w:link w:val="TtolCar"/>
    <w:uiPriority w:val="10"/>
    <w:qFormat/>
    <w:rsid w:val="008C5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8C5D28"/>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8C5D28"/>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8C5D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5D28"/>
    <w:pPr>
      <w:spacing w:before="160"/>
      <w:jc w:val="center"/>
    </w:pPr>
    <w:rPr>
      <w:i/>
      <w:iCs/>
      <w:color w:val="404040" w:themeColor="text1" w:themeTint="BF"/>
    </w:rPr>
  </w:style>
  <w:style w:type="character" w:customStyle="1" w:styleId="CitaCar">
    <w:name w:val="Cita Car"/>
    <w:basedOn w:val="Lletraperdefectedelpargraf"/>
    <w:link w:val="Cita"/>
    <w:uiPriority w:val="29"/>
    <w:rsid w:val="008C5D28"/>
    <w:rPr>
      <w:i/>
      <w:iCs/>
      <w:color w:val="404040" w:themeColor="text1" w:themeTint="BF"/>
    </w:rPr>
  </w:style>
  <w:style w:type="paragraph" w:styleId="Pargrafdellista">
    <w:name w:val="List Paragraph"/>
    <w:basedOn w:val="Normal"/>
    <w:uiPriority w:val="34"/>
    <w:qFormat/>
    <w:rsid w:val="008C5D28"/>
    <w:pPr>
      <w:ind w:left="720"/>
      <w:contextualSpacing/>
    </w:pPr>
  </w:style>
  <w:style w:type="character" w:styleId="mfasiintens">
    <w:name w:val="Intense Emphasis"/>
    <w:basedOn w:val="Lletraperdefectedelpargraf"/>
    <w:uiPriority w:val="21"/>
    <w:qFormat/>
    <w:rsid w:val="008C5D28"/>
    <w:rPr>
      <w:i/>
      <w:iCs/>
      <w:color w:val="0F4761" w:themeColor="accent1" w:themeShade="BF"/>
    </w:rPr>
  </w:style>
  <w:style w:type="paragraph" w:styleId="Citaintensa">
    <w:name w:val="Intense Quote"/>
    <w:basedOn w:val="Normal"/>
    <w:next w:val="Normal"/>
    <w:link w:val="CitaintensaCar"/>
    <w:uiPriority w:val="30"/>
    <w:qFormat/>
    <w:rsid w:val="008C5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8C5D28"/>
    <w:rPr>
      <w:i/>
      <w:iCs/>
      <w:color w:val="0F4761" w:themeColor="accent1" w:themeShade="BF"/>
    </w:rPr>
  </w:style>
  <w:style w:type="character" w:styleId="Refernciaintensa">
    <w:name w:val="Intense Reference"/>
    <w:basedOn w:val="Lletraperdefectedelpargraf"/>
    <w:uiPriority w:val="32"/>
    <w:qFormat/>
    <w:rsid w:val="008C5D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696</Words>
  <Characters>3829</Characters>
  <Application>Microsoft Office Word</Application>
  <DocSecurity>0</DocSecurity>
  <Lines>31</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Monfort</dc:creator>
  <cp:keywords/>
  <dc:description/>
  <cp:lastModifiedBy>Manuel Monfort</cp:lastModifiedBy>
  <cp:revision>1</cp:revision>
  <dcterms:created xsi:type="dcterms:W3CDTF">2026-11-04T14:34:00Z</dcterms:created>
  <dcterms:modified xsi:type="dcterms:W3CDTF">2026-11-04T14:39:00Z</dcterms:modified>
</cp:coreProperties>
</file>